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57.png" ContentType="image/png"/>
  <Override PartName="/word/media/rId61.png" ContentType="image/png"/>
  <Override PartName="/word/media/rId65.png" ContentType="image/png"/>
  <Override PartName="/word/media/rId69.png" ContentType="image/png"/>
  <Override PartName="/word/media/rId73.png" ContentType="image/png"/>
  <Override PartName="/word/media/rId77.png" ContentType="image/png"/>
  <Override PartName="/word/media/rId81.png" ContentType="image/png"/>
  <Override PartName="/word/media/rId25.png" ContentType="image/png"/>
  <Override PartName="/word/media/rId29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  <Override PartName="/word/media/rId5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лабораторной работе №3</w:t>
      </w:r>
    </w:p>
    <w:p>
      <w:pPr>
        <w:pStyle w:val="Subtitle"/>
      </w:pPr>
      <w:r>
        <w:t xml:space="preserve">НПИбд-02-22</w:t>
      </w:r>
    </w:p>
    <w:p>
      <w:pPr>
        <w:pStyle w:val="Author"/>
      </w:pPr>
      <w:r>
        <w:t xml:space="preserve">Чесноков Артемий Павлович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sdt>
      <w:sdtPr>
        <w:docPartObj>
          <w:docPartGallery w:val="List of Tables"/>
          <w:docPartUnique/>
        </w:docPartObj>
      </w:sdtPr>
      <w:sdtContent>
        <w:p>
          <w:pPr>
            <w:pStyle w:val="TOCHeading"/>
          </w:pPr>
          <w:r>
            <w:t xml:space="preserve">Список таблиц</w:t>
          </w:r>
        </w:p>
        <w:p>
          <w:r>
            <w:fldChar w:fldCharType="begin" w:dirty="true"/>
            <w:instrText xml:space="preserve">TOC \h \z \t "Table Caption" \c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Основной целью работы является знакомство с инструментом для измерения</w:t>
      </w:r>
      <w:r>
        <w:t xml:space="preserve"> </w:t>
      </w:r>
      <w:r>
        <w:t xml:space="preserve">пропускной способности сети в режиме реального времени — iPerf3, а также</w:t>
      </w:r>
      <w:r>
        <w:t xml:space="preserve"> </w:t>
      </w:r>
      <w:r>
        <w:t xml:space="preserve">получение навыков проведения воспроизводимого эксперимента по измерению</w:t>
      </w:r>
      <w:r>
        <w:t xml:space="preserve"> </w:t>
      </w:r>
      <w:r>
        <w:t xml:space="preserve">пропускной способности моделируемой сети в среде Mininet.</w:t>
      </w:r>
    </w:p>
    <w:bookmarkEnd w:id="20"/>
    <w:bookmarkStart w:id="85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Создаем необходимые папки и копируем emptynet.py (рис. 1).</w:t>
      </w:r>
    </w:p>
    <w:bookmarkStart w:id="24" w:name="fig:001"/>
    <w:p>
      <w:pPr>
        <w:pStyle w:val="CaptionedFigure"/>
      </w:pPr>
      <w:r>
        <w:drawing>
          <wp:inline>
            <wp:extent cx="3733800" cy="2322936"/>
            <wp:effectExtent b="0" l="0" r="0" t="0"/>
            <wp:docPr descr="Рис. 1: in dir lab_iperf3_topo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229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in dir lab_iperf3_topo</w:t>
      </w:r>
    </w:p>
    <w:bookmarkEnd w:id="24"/>
    <w:p>
      <w:pPr>
        <w:pStyle w:val="BodyText"/>
      </w:pPr>
      <w:r>
        <w:t xml:space="preserve">Запускаем файл (рис. 2).</w:t>
      </w:r>
    </w:p>
    <w:bookmarkStart w:id="28" w:name="fig:002"/>
    <w:p>
      <w:pPr>
        <w:pStyle w:val="CaptionedFigure"/>
      </w:pPr>
      <w:r>
        <w:drawing>
          <wp:inline>
            <wp:extent cx="3733800" cy="2322936"/>
            <wp:effectExtent b="0" l="0" r="0" t="0"/>
            <wp:docPr descr="Рис. 2: Выводится консоль iperf3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229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Выводится консоль iperf3</w:t>
      </w:r>
    </w:p>
    <w:bookmarkEnd w:id="28"/>
    <w:p>
      <w:pPr>
        <w:pStyle w:val="BodyText"/>
      </w:pPr>
      <w:r>
        <w:t xml:space="preserve">Смотрим все элементы топологии (рис. 3).</w:t>
      </w:r>
    </w:p>
    <w:bookmarkStart w:id="32" w:name="fig:003"/>
    <w:p>
      <w:pPr>
        <w:pStyle w:val="CaptionedFigure"/>
      </w:pPr>
      <w:r>
        <w:drawing>
          <wp:inline>
            <wp:extent cx="3733800" cy="2322936"/>
            <wp:effectExtent b="0" l="0" r="0" t="0"/>
            <wp:docPr descr="Рис. 3: net links dump" title="" id="30" name="Picture"/>
            <a:graphic>
              <a:graphicData uri="http://schemas.openxmlformats.org/drawingml/2006/picture">
                <pic:pic>
                  <pic:nvPicPr>
                    <pic:cNvPr descr="image/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229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net links dump</w:t>
      </w:r>
    </w:p>
    <w:bookmarkEnd w:id="32"/>
    <w:p>
      <w:pPr>
        <w:pStyle w:val="BodyText"/>
      </w:pPr>
      <w:r>
        <w:t xml:space="preserve">В коде выводим IP&amp;MAC адрес (рис. 4).</w:t>
      </w:r>
    </w:p>
    <w:bookmarkStart w:id="36" w:name="fig:004"/>
    <w:p>
      <w:pPr>
        <w:pStyle w:val="CaptionedFigure"/>
      </w:pPr>
      <w:r>
        <w:drawing>
          <wp:inline>
            <wp:extent cx="3733800" cy="2322936"/>
            <wp:effectExtent b="0" l="0" r="0" t="0"/>
            <wp:docPr descr="Рис. 4: via print" title="" id="34" name="Picture"/>
            <a:graphic>
              <a:graphicData uri="http://schemas.openxmlformats.org/drawingml/2006/picture">
                <pic:pic>
                  <pic:nvPicPr>
                    <pic:cNvPr descr="image/4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229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via print</w:t>
      </w:r>
    </w:p>
    <w:bookmarkEnd w:id="36"/>
    <w:p>
      <w:pPr>
        <w:pStyle w:val="BodyText"/>
      </w:pPr>
      <w:r>
        <w:t xml:space="preserve">Запускаем отредактированную программу (рис. 5).</w:t>
      </w:r>
    </w:p>
    <w:bookmarkStart w:id="40" w:name="fig:005"/>
    <w:p>
      <w:pPr>
        <w:pStyle w:val="CaptionedFigure"/>
      </w:pPr>
      <w:r>
        <w:drawing>
          <wp:inline>
            <wp:extent cx="3733800" cy="2322936"/>
            <wp:effectExtent b="0" l="0" r="0" t="0"/>
            <wp:docPr descr="Рис. 5: наблюдаем корректное отображение для 1 хоста" title="" id="38" name="Picture"/>
            <a:graphic>
              <a:graphicData uri="http://schemas.openxmlformats.org/drawingml/2006/picture">
                <pic:pic>
                  <pic:nvPicPr>
                    <pic:cNvPr descr="image/5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229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наблюдаем корректное отображение для 1 хоста</w:t>
      </w:r>
    </w:p>
    <w:bookmarkEnd w:id="40"/>
    <w:p>
      <w:pPr>
        <w:pStyle w:val="BodyText"/>
      </w:pPr>
      <w:r>
        <w:t xml:space="preserve">Добавляем такое же отображение для 2 хоста (рис. 6).</w:t>
      </w:r>
    </w:p>
    <w:bookmarkStart w:id="44" w:name="fig:006"/>
    <w:p>
      <w:pPr>
        <w:pStyle w:val="CaptionedFigure"/>
      </w:pPr>
      <w:r>
        <w:drawing>
          <wp:inline>
            <wp:extent cx="3733800" cy="2322936"/>
            <wp:effectExtent b="0" l="0" r="0" t="0"/>
            <wp:docPr descr="Рис. 6: тот же код только для h2" title="" id="42" name="Picture"/>
            <a:graphic>
              <a:graphicData uri="http://schemas.openxmlformats.org/drawingml/2006/picture">
                <pic:pic>
                  <pic:nvPicPr>
                    <pic:cNvPr descr="image/6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229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тот же код только для h2</w:t>
      </w:r>
    </w:p>
    <w:bookmarkEnd w:id="44"/>
    <w:p>
      <w:pPr>
        <w:pStyle w:val="BodyText"/>
      </w:pPr>
      <w:r>
        <w:t xml:space="preserve">Запускаем отредактированную программу (рис. 7).</w:t>
      </w:r>
    </w:p>
    <w:bookmarkStart w:id="48" w:name="fig:007"/>
    <w:p>
      <w:pPr>
        <w:pStyle w:val="CaptionedFigure"/>
      </w:pPr>
      <w:r>
        <w:drawing>
          <wp:inline>
            <wp:extent cx="3733800" cy="2322936"/>
            <wp:effectExtent b="0" l="0" r="0" t="0"/>
            <wp:docPr descr="Рис. 7: наблюдаем корректное отображение для 2 хоста" title="" id="46" name="Picture"/>
            <a:graphic>
              <a:graphicData uri="http://schemas.openxmlformats.org/drawingml/2006/picture">
                <pic:pic>
                  <pic:nvPicPr>
                    <pic:cNvPr descr="image/7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229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наблюдаем корректное отображение для 2 хоста</w:t>
      </w:r>
    </w:p>
    <w:bookmarkEnd w:id="48"/>
    <w:p>
      <w:pPr>
        <w:pStyle w:val="BodyText"/>
      </w:pPr>
      <w:r>
        <w:t xml:space="preserve">Добавляем импорты CPULimitHost &amp; TCLink (рис. 8).</w:t>
      </w:r>
    </w:p>
    <w:bookmarkStart w:id="52" w:name="fig:008"/>
    <w:p>
      <w:pPr>
        <w:pStyle w:val="CaptionedFigure"/>
      </w:pPr>
      <w:r>
        <w:drawing>
          <wp:inline>
            <wp:extent cx="3733800" cy="2322936"/>
            <wp:effectExtent b="0" l="0" r="0" t="0"/>
            <wp:docPr descr="Рис. 8: CPULimitHost &amp; TCLink" title="" id="50" name="Picture"/>
            <a:graphic>
              <a:graphicData uri="http://schemas.openxmlformats.org/drawingml/2006/picture">
                <pic:pic>
                  <pic:nvPicPr>
                    <pic:cNvPr descr="image/8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229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CPULimitHost &amp; TCLink</w:t>
      </w:r>
    </w:p>
    <w:bookmarkEnd w:id="52"/>
    <w:p>
      <w:pPr>
        <w:pStyle w:val="BodyText"/>
      </w:pPr>
      <w:r>
        <w:t xml:space="preserve">Расширяем net импортированными модулями (рис. 9).</w:t>
      </w:r>
    </w:p>
    <w:bookmarkStart w:id="56" w:name="fig:009"/>
    <w:p>
      <w:pPr>
        <w:pStyle w:val="CaptionedFigure"/>
      </w:pPr>
      <w:r>
        <w:drawing>
          <wp:inline>
            <wp:extent cx="3733800" cy="2322936"/>
            <wp:effectExtent b="0" l="0" r="0" t="0"/>
            <wp:docPr descr="Рис. 9: в вызове Mininet" title="" id="54" name="Picture"/>
            <a:graphic>
              <a:graphicData uri="http://schemas.openxmlformats.org/drawingml/2006/picture">
                <pic:pic>
                  <pic:nvPicPr>
                    <pic:cNvPr descr="image/9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229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в вызове Mininet</w:t>
      </w:r>
    </w:p>
    <w:bookmarkEnd w:id="56"/>
    <w:p>
      <w:pPr>
        <w:pStyle w:val="BodyText"/>
      </w:pPr>
      <w:r>
        <w:t xml:space="preserve">Добавляем ограничение CPU на хосты (рис. 10).</w:t>
      </w:r>
    </w:p>
    <w:bookmarkStart w:id="60" w:name="fig:010"/>
    <w:p>
      <w:pPr>
        <w:pStyle w:val="CaptionedFigure"/>
      </w:pPr>
      <w:r>
        <w:drawing>
          <wp:inline>
            <wp:extent cx="3733800" cy="2322936"/>
            <wp:effectExtent b="0" l="0" r="0" t="0"/>
            <wp:docPr descr="Рис. 10: ура! добавили" title="" id="58" name="Picture"/>
            <a:graphic>
              <a:graphicData uri="http://schemas.openxmlformats.org/drawingml/2006/picture">
                <pic:pic>
                  <pic:nvPicPr>
                    <pic:cNvPr descr="image/10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229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ура! добавили</w:t>
      </w:r>
    </w:p>
    <w:bookmarkEnd w:id="60"/>
    <w:p>
      <w:pPr>
        <w:pStyle w:val="BodyText"/>
      </w:pPr>
      <w:r>
        <w:t xml:space="preserve">Запускаем код (рис. 11).</w:t>
      </w:r>
    </w:p>
    <w:bookmarkStart w:id="64" w:name="fig:011"/>
    <w:p>
      <w:pPr>
        <w:pStyle w:val="CaptionedFigure"/>
      </w:pPr>
      <w:r>
        <w:drawing>
          <wp:inline>
            <wp:extent cx="3733800" cy="2322936"/>
            <wp:effectExtent b="0" l="0" r="0" t="0"/>
            <wp:docPr descr="Рис. 11: наблюдаем ограничение cpu" title="" id="62" name="Picture"/>
            <a:graphic>
              <a:graphicData uri="http://schemas.openxmlformats.org/drawingml/2006/picture">
                <pic:pic>
                  <pic:nvPicPr>
                    <pic:cNvPr descr="image/11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229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наблюдаем ограничение cpu</w:t>
      </w:r>
    </w:p>
    <w:bookmarkEnd w:id="64"/>
    <w:p>
      <w:pPr>
        <w:pStyle w:val="BodyText"/>
      </w:pPr>
      <w:r>
        <w:t xml:space="preserve">Изменяем структуру (рис. 12).</w:t>
      </w:r>
    </w:p>
    <w:bookmarkStart w:id="68" w:name="fig:012"/>
    <w:p>
      <w:pPr>
        <w:pStyle w:val="CaptionedFigure"/>
      </w:pPr>
      <w:r>
        <w:drawing>
          <wp:inline>
            <wp:extent cx="3733800" cy="2322936"/>
            <wp:effectExtent b="0" l="0" r="0" t="0"/>
            <wp:docPr descr="Рис. 12: переименовали / перенесли / etc" title="" id="66" name="Picture"/>
            <a:graphic>
              <a:graphicData uri="http://schemas.openxmlformats.org/drawingml/2006/picture">
                <pic:pic>
                  <pic:nvPicPr>
                    <pic:cNvPr descr="image/12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229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переименовали / перенесли / etc</w:t>
      </w:r>
    </w:p>
    <w:bookmarkEnd w:id="68"/>
    <w:p>
      <w:pPr>
        <w:pStyle w:val="BodyText"/>
      </w:pPr>
      <w:r>
        <w:t xml:space="preserve">Выполняем iperf команды прямо в коде(рис. 13).</w:t>
      </w:r>
    </w:p>
    <w:bookmarkStart w:id="72" w:name="fig:013"/>
    <w:p>
      <w:pPr>
        <w:pStyle w:val="CaptionedFigure"/>
      </w:pPr>
      <w:r>
        <w:drawing>
          <wp:inline>
            <wp:extent cx="3733800" cy="2322936"/>
            <wp:effectExtent b="0" l="0" r="0" t="0"/>
            <wp:docPr descr="Рис. 13: так же для h1 добавляем вывод в отчёт" title="" id="70" name="Picture"/>
            <a:graphic>
              <a:graphicData uri="http://schemas.openxmlformats.org/drawingml/2006/picture">
                <pic:pic>
                  <pic:nvPicPr>
                    <pic:cNvPr descr="image/13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229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так же для h1 добавляем вывод в отчёт</w:t>
      </w:r>
    </w:p>
    <w:bookmarkEnd w:id="72"/>
    <w:p>
      <w:pPr>
        <w:pStyle w:val="BodyText"/>
      </w:pPr>
      <w:r>
        <w:t xml:space="preserve">Запускаем измененный код (рис. 14).</w:t>
      </w:r>
    </w:p>
    <w:bookmarkStart w:id="76" w:name="fig:014"/>
    <w:p>
      <w:pPr>
        <w:pStyle w:val="CaptionedFigure"/>
      </w:pPr>
      <w:r>
        <w:drawing>
          <wp:inline>
            <wp:extent cx="3733800" cy="2322936"/>
            <wp:effectExtent b="0" l="0" r="0" t="0"/>
            <wp:docPr descr="Рис. 14: так же видим отключенный cli" title="" id="74" name="Picture"/>
            <a:graphic>
              <a:graphicData uri="http://schemas.openxmlformats.org/drawingml/2006/picture">
                <pic:pic>
                  <pic:nvPicPr>
                    <pic:cNvPr descr="image/14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229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так же видим отключенный cli</w:t>
      </w:r>
    </w:p>
    <w:bookmarkEnd w:id="76"/>
    <w:p>
      <w:pPr>
        <w:pStyle w:val="BodyText"/>
      </w:pPr>
      <w:r>
        <w:t xml:space="preserve">Создаем Мэйкфайл и настраиваем его (рис. 15).</w:t>
      </w:r>
    </w:p>
    <w:bookmarkStart w:id="80" w:name="fig:015"/>
    <w:p>
      <w:pPr>
        <w:pStyle w:val="CaptionedFigure"/>
      </w:pPr>
      <w:r>
        <w:drawing>
          <wp:inline>
            <wp:extent cx="3733800" cy="2322936"/>
            <wp:effectExtent b="0" l="0" r="0" t="0"/>
            <wp:docPr descr="Рис. 15: для автоматизации" title="" id="78" name="Picture"/>
            <a:graphic>
              <a:graphicData uri="http://schemas.openxmlformats.org/drawingml/2006/picture">
                <pic:pic>
                  <pic:nvPicPr>
                    <pic:cNvPr descr="image/15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229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для автоматизации</w:t>
      </w:r>
    </w:p>
    <w:bookmarkEnd w:id="80"/>
    <w:p>
      <w:pPr>
        <w:pStyle w:val="BodyText"/>
      </w:pPr>
      <w:r>
        <w:t xml:space="preserve">Пробуем наш Мэйкфайл(рис. 16).</w:t>
      </w:r>
    </w:p>
    <w:bookmarkStart w:id="84" w:name="fig:016"/>
    <w:p>
      <w:pPr>
        <w:pStyle w:val="CaptionedFigure"/>
      </w:pPr>
      <w:r>
        <w:drawing>
          <wp:inline>
            <wp:extent cx="3733800" cy="2322936"/>
            <wp:effectExtent b="0" l="0" r="0" t="0"/>
            <wp:docPr descr="Рис. 16: ура! получилось" title="" id="82" name="Picture"/>
            <a:graphic>
              <a:graphicData uri="http://schemas.openxmlformats.org/drawingml/2006/picture">
                <pic:pic>
                  <pic:nvPicPr>
                    <pic:cNvPr descr="image/16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229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ура! получилось</w:t>
      </w:r>
    </w:p>
    <w:bookmarkEnd w:id="84"/>
    <w:bookmarkEnd w:id="85"/>
    <w:bookmarkStart w:id="86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Познакомились с инструментом для измерения</w:t>
      </w:r>
      <w:r>
        <w:t xml:space="preserve"> </w:t>
      </w:r>
      <w:r>
        <w:t xml:space="preserve">пропускной способности сети в режиме реального времени — iPerf3, а также</w:t>
      </w:r>
      <w:r>
        <w:t xml:space="preserve"> </w:t>
      </w:r>
      <w:r>
        <w:t xml:space="preserve">получили навыки проведения воспроизводимого эксперимента по измерению</w:t>
      </w:r>
      <w:r>
        <w:t xml:space="preserve"> </w:t>
      </w:r>
      <w:r>
        <w:t xml:space="preserve">пропускной способности моделируемой сети в среде Mininet</w:t>
      </w:r>
    </w:p>
    <w:bookmarkEnd w:id="86"/>
    <w:bookmarkStart w:id="88" w:name="список-литературы"/>
    <w:p>
      <w:pPr>
        <w:pStyle w:val="Heading1"/>
      </w:pPr>
      <w:r>
        <w:t xml:space="preserve">Список литературы</w:t>
      </w:r>
    </w:p>
    <w:bookmarkStart w:id="87" w:name="refs"/>
    <w:bookmarkEnd w:id="87"/>
    <w:bookmarkEnd w:id="88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69" Target="media/rId69.png" /><Relationship Type="http://schemas.openxmlformats.org/officeDocument/2006/relationships/image" Id="rId73" Target="media/rId73.png" /><Relationship Type="http://schemas.openxmlformats.org/officeDocument/2006/relationships/image" Id="rId77" Target="media/rId77.png" /><Relationship Type="http://schemas.openxmlformats.org/officeDocument/2006/relationships/image" Id="rId81" Target="media/rId81.png" /><Relationship Type="http://schemas.openxmlformats.org/officeDocument/2006/relationships/image" Id="rId25" Target="media/rId25.png" /><Relationship Type="http://schemas.openxmlformats.org/officeDocument/2006/relationships/image" Id="rId29" Target="media/rId29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3" Target="media/rId5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№3</dc:title>
  <dc:creator>Чесноков Артемий Павлович</dc:creator>
  <dc:language>ru-RU</dc:language>
  <cp:keywords/>
  <dcterms:created xsi:type="dcterms:W3CDTF">2025-10-11T19:27:39Z</dcterms:created>
  <dcterms:modified xsi:type="dcterms:W3CDTF">2025-10-11T19:27:39Z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True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IBM Plex Serif</vt:lpwstr>
  </property>
  <property fmtid="{D5CDD505-2E9C-101B-9397-08002B2CF9AE}" pid="61" name="mainfontoptions">
    <vt:lpwstr>Ligatures=Common,Ligatures=TeX,Scale=0.94</vt:lpwstr>
  </property>
  <property fmtid="{D5CDD505-2E9C-101B-9397-08002B2CF9AE}" pid="62" name="mathfont">
    <vt:lpwstr>STIX Two Math</vt:lpwstr>
  </property>
  <property fmtid="{D5CDD505-2E9C-101B-9397-08002B2CF9AE}" pid="63" name="mathfontoptions">
    <vt:lpwstr/>
  </property>
  <property fmtid="{D5CDD505-2E9C-101B-9397-08002B2CF9AE}" pid="64" name="monofont">
    <vt:lpwstr>IBM Plex Mono</vt:lpwstr>
  </property>
  <property fmtid="{D5CDD505-2E9C-101B-9397-08002B2CF9AE}" pid="65" name="monofontoptions">
    <vt:lpwstr>Scale=MatchLowercase,Scale=0.94,FakeStretch=0.9</vt:lpwstr>
  </property>
  <property fmtid="{D5CDD505-2E9C-101B-9397-08002B2CF9AE}" pid="66" name="nameInLink">
    <vt:lpwstr>False</vt:lpwstr>
  </property>
  <property fmtid="{D5CDD505-2E9C-101B-9397-08002B2CF9AE}" pid="67" name="numberSections">
    <vt:lpwstr>False</vt:lpwstr>
  </property>
  <property fmtid="{D5CDD505-2E9C-101B-9397-08002B2CF9AE}" pid="68" name="pairDelim">
    <vt:lpwstr>, </vt:lpwstr>
  </property>
  <property fmtid="{D5CDD505-2E9C-101B-9397-08002B2CF9AE}" pid="69" name="papersize">
    <vt:lpwstr>a4</vt:lpwstr>
  </property>
  <property fmtid="{D5CDD505-2E9C-101B-9397-08002B2CF9AE}" pid="70" name="polyglossia-lang">
    <vt:lpwstr/>
  </property>
  <property fmtid="{D5CDD505-2E9C-101B-9397-08002B2CF9AE}" pid="71" name="polyglossia-otherlangs">
    <vt:lpwstr/>
  </property>
  <property fmtid="{D5CDD505-2E9C-101B-9397-08002B2CF9AE}" pid="72" name="rangeDelim">
    <vt:lpwstr>-</vt:lpwstr>
  </property>
  <property fmtid="{D5CDD505-2E9C-101B-9397-08002B2CF9AE}" pid="73" name="refDelim">
    <vt:lpwstr>, </vt:lpwstr>
  </property>
  <property fmtid="{D5CDD505-2E9C-101B-9397-08002B2CF9AE}" pid="74" name="refIndexTemplate">
    <vt:lpwstr>isuf</vt:lpwstr>
  </property>
  <property fmtid="{D5CDD505-2E9C-101B-9397-08002B2CF9AE}" pid="75" name="romanfont">
    <vt:lpwstr>IBM Plex Serif</vt:lpwstr>
  </property>
  <property fmtid="{D5CDD505-2E9C-101B-9397-08002B2CF9AE}" pid="76" name="romanfontoptions">
    <vt:lpwstr>Ligatures=Common,Ligatures=TeX,Scale=0.94</vt:lpwstr>
  </property>
  <property fmtid="{D5CDD505-2E9C-101B-9397-08002B2CF9AE}" pid="77" name="sansfont">
    <vt:lpwstr>IBM Plex Sans</vt:lpwstr>
  </property>
  <property fmtid="{D5CDD505-2E9C-101B-9397-08002B2CF9AE}" pid="78" name="sansfontoptions">
    <vt:lpwstr>Ligatures=Common,Ligatures=TeX,Scale=MatchLowercase,Scale=0.94</vt:lpwstr>
  </property>
  <property fmtid="{D5CDD505-2E9C-101B-9397-08002B2CF9AE}" pid="79" name="secHeaderDelim">
    <vt:lpwstr> </vt:lpwstr>
  </property>
  <property fmtid="{D5CDD505-2E9C-101B-9397-08002B2CF9AE}" pid="80" name="secHeaderTemplate">
    <vt:lpwstr>isecHeaderDelim[n]t</vt:lpwstr>
  </property>
  <property fmtid="{D5CDD505-2E9C-101B-9397-08002B2CF9AE}" pid="81" name="secLabels">
    <vt:lpwstr>arabic</vt:lpwstr>
  </property>
  <property fmtid="{D5CDD505-2E9C-101B-9397-08002B2CF9AE}" pid="82" name="secPrefix">
    <vt:lpwstr/>
  </property>
  <property fmtid="{D5CDD505-2E9C-101B-9397-08002B2CF9AE}" pid="83" name="secPrefixTemplate">
    <vt:lpwstr>p i</vt:lpwstr>
  </property>
  <property fmtid="{D5CDD505-2E9C-101B-9397-08002B2CF9AE}" pid="84" name="sectionsDepth">
    <vt:lpwstr>0</vt:lpwstr>
  </property>
  <property fmtid="{D5CDD505-2E9C-101B-9397-08002B2CF9AE}" pid="85" name="subfigGrid">
    <vt:lpwstr>False</vt:lpwstr>
  </property>
  <property fmtid="{D5CDD505-2E9C-101B-9397-08002B2CF9AE}" pid="86" name="subfigLabels">
    <vt:lpwstr>alpha a</vt:lpwstr>
  </property>
  <property fmtid="{D5CDD505-2E9C-101B-9397-08002B2CF9AE}" pid="87" name="subfigureChildTemplate">
    <vt:lpwstr>i</vt:lpwstr>
  </property>
  <property fmtid="{D5CDD505-2E9C-101B-9397-08002B2CF9AE}" pid="88" name="subfigureRefIndexTemplate">
    <vt:lpwstr>isuf (s)</vt:lpwstr>
  </property>
  <property fmtid="{D5CDD505-2E9C-101B-9397-08002B2CF9AE}" pid="89" name="subfigureTemplate">
    <vt:lpwstr>figureTitle ititleDelim t. ccs</vt:lpwstr>
  </property>
  <property fmtid="{D5CDD505-2E9C-101B-9397-08002B2CF9AE}" pid="90" name="subtitle">
    <vt:lpwstr>НПИбд-02-22</vt:lpwstr>
  </property>
  <property fmtid="{D5CDD505-2E9C-101B-9397-08002B2CF9AE}" pid="91" name="tableEqns">
    <vt:lpwstr>False</vt:lpwstr>
  </property>
  <property fmtid="{D5CDD505-2E9C-101B-9397-08002B2CF9AE}" pid="92" name="tableTemplate">
    <vt:lpwstr>tableTitle ititleDelim t</vt:lpwstr>
  </property>
  <property fmtid="{D5CDD505-2E9C-101B-9397-08002B2CF9AE}" pid="93" name="tableTitle">
    <vt:lpwstr>Таблица</vt:lpwstr>
  </property>
  <property fmtid="{D5CDD505-2E9C-101B-9397-08002B2CF9AE}" pid="94" name="tblLabels">
    <vt:lpwstr>arabic</vt:lpwstr>
  </property>
  <property fmtid="{D5CDD505-2E9C-101B-9397-08002B2CF9AE}" pid="95" name="tblPrefix">
    <vt:lpwstr/>
  </property>
  <property fmtid="{D5CDD505-2E9C-101B-9397-08002B2CF9AE}" pid="96" name="tblPrefixTemplate">
    <vt:lpwstr>p i</vt:lpwstr>
  </property>
  <property fmtid="{D5CDD505-2E9C-101B-9397-08002B2CF9AE}" pid="97" name="titleDelim">
    <vt:lpwstr>:</vt:lpwstr>
  </property>
  <property fmtid="{D5CDD505-2E9C-101B-9397-08002B2CF9AE}" pid="98" name="toc">
    <vt:lpwstr>True</vt:lpwstr>
  </property>
  <property fmtid="{D5CDD505-2E9C-101B-9397-08002B2CF9AE}" pid="99" name="toc-depth">
    <vt:lpwstr>2</vt:lpwstr>
  </property>
  <property fmtid="{D5CDD505-2E9C-101B-9397-08002B2CF9AE}" pid="100" name="toc-title">
    <vt:lpwstr>Содержание</vt:lpwstr>
  </property>
</Properties>
</file>